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4E48" w14:textId="309C57DE" w:rsidR="0086527B" w:rsidRDefault="004D10AD">
      <w:r w:rsidRPr="004D10AD">
        <w:t>RESOLUCION GERENCIAL MUNICIPAL PENDIENTE</w:t>
      </w:r>
    </w:p>
    <w:sectPr w:rsidR="00865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AD"/>
    <w:rsid w:val="004D10AD"/>
    <w:rsid w:val="008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A2B8A"/>
  <w15:chartTrackingRefBased/>
  <w15:docId w15:val="{E45721B9-61C5-4880-92EA-5733B936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jhans sarmiento</dc:creator>
  <cp:keywords/>
  <dc:description/>
  <cp:lastModifiedBy>jhans sarmiento</cp:lastModifiedBy>
  <cp:revision>1</cp:revision>
  <dcterms:created xsi:type="dcterms:W3CDTF">2026-02-26T19:50:00Z</dcterms:created>
  <dcterms:modified xsi:type="dcterms:W3CDTF">2026-02-26T19:51:00Z</dcterms:modified>
</cp:coreProperties>
</file>